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8. 3. 2022</w:t>
      </w:r>
    </w:p>
    <w:p>
      <w:pPr/>
      <w:r>
        <w:rPr>
          <w:sz w:val="44"/>
          <w:szCs w:val="44"/>
        </w:rPr>
        <w:t xml:space="preserve">Nový Renault Austral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2022-03-08T12:02:38+01:00</dcterms:created>
  <dcterms:modified xsi:type="dcterms:W3CDTF">2022-03-08T12:02:38+01:00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